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B4" w:rsidRPr="004D7CB5" w:rsidRDefault="000136B4" w:rsidP="00013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0136B4" w:rsidRPr="009F0A1C" w:rsidRDefault="000136B4" w:rsidP="00013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0136B4" w:rsidRPr="000136B4" w:rsidRDefault="000136B4" w:rsidP="000136B4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53.02.07 Теория музыки</w:t>
      </w:r>
    </w:p>
    <w:p w:rsidR="000136B4" w:rsidRPr="00166DBA" w:rsidRDefault="000136B4" w:rsidP="0001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6B4" w:rsidRPr="003312B6" w:rsidRDefault="000136B4" w:rsidP="000136B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36B4" w:rsidRDefault="000136B4" w:rsidP="0001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6B4" w:rsidRDefault="000136B4" w:rsidP="000136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136B4" w:rsidRPr="00166DBA" w:rsidRDefault="000136B4" w:rsidP="00013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0136B4" w:rsidRPr="008E2F83" w:rsidRDefault="000136B4" w:rsidP="00013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1576" w:rsidRPr="004C1576" w:rsidRDefault="004C1576" w:rsidP="004C15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1576">
        <w:rPr>
          <w:rFonts w:ascii="Times New Roman" w:hAnsi="Times New Roman"/>
          <w:b/>
          <w:iCs/>
          <w:color w:val="000000"/>
          <w:sz w:val="28"/>
          <w:szCs w:val="28"/>
        </w:rPr>
        <w:t>53.02.07 Теория музыки</w:t>
      </w:r>
    </w:p>
    <w:p w:rsidR="000136B4" w:rsidRPr="004C1576" w:rsidRDefault="000136B4" w:rsidP="000136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36B4" w:rsidRPr="008E2F83" w:rsidRDefault="000136B4" w:rsidP="000136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36B4" w:rsidRPr="008E2F83" w:rsidRDefault="000136B4" w:rsidP="000136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36B4" w:rsidRPr="008E2F83" w:rsidRDefault="000136B4" w:rsidP="000136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36B4" w:rsidRPr="008E2F83" w:rsidRDefault="000136B4" w:rsidP="000136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53055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Default="000136B4" w:rsidP="008E0DA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0136B4" w:rsidTr="00E74418">
        <w:tc>
          <w:tcPr>
            <w:tcW w:w="9636" w:type="dxa"/>
          </w:tcPr>
          <w:p w:rsidR="000136B4" w:rsidRPr="00601EC8" w:rsidRDefault="000136B4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0136B4" w:rsidRPr="00087FDE" w:rsidRDefault="00DB16A3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0136B4" w:rsidRPr="00087FDE" w:rsidTr="00E74418">
        <w:tc>
          <w:tcPr>
            <w:tcW w:w="9636" w:type="dxa"/>
          </w:tcPr>
          <w:p w:rsidR="000136B4" w:rsidRPr="00601EC8" w:rsidRDefault="000136B4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0136B4" w:rsidRPr="00087FDE" w:rsidRDefault="000136B4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0136B4" w:rsidRPr="00087FDE" w:rsidTr="00E74418">
        <w:tc>
          <w:tcPr>
            <w:tcW w:w="9636" w:type="dxa"/>
          </w:tcPr>
          <w:p w:rsidR="000136B4" w:rsidRPr="00601EC8" w:rsidRDefault="000136B4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136B4" w:rsidRPr="00087FDE" w:rsidRDefault="000136B4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0136B4" w:rsidRPr="00087FDE" w:rsidTr="00E74418">
        <w:tc>
          <w:tcPr>
            <w:tcW w:w="9636" w:type="dxa"/>
          </w:tcPr>
          <w:p w:rsidR="000136B4" w:rsidRPr="00601EC8" w:rsidRDefault="000136B4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136B4" w:rsidRPr="00087FDE" w:rsidRDefault="000136B4" w:rsidP="00DB16A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DB16A3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0136B4" w:rsidRPr="00087FDE" w:rsidTr="00E74418">
        <w:tc>
          <w:tcPr>
            <w:tcW w:w="9636" w:type="dxa"/>
          </w:tcPr>
          <w:p w:rsidR="000136B4" w:rsidRPr="00601EC8" w:rsidRDefault="000136B4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0136B4" w:rsidRPr="00087FDE" w:rsidRDefault="000136B4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0136B4" w:rsidRPr="00087FDE" w:rsidTr="00E74418">
        <w:tc>
          <w:tcPr>
            <w:tcW w:w="9636" w:type="dxa"/>
          </w:tcPr>
          <w:p w:rsidR="000136B4" w:rsidRPr="00601EC8" w:rsidRDefault="000136B4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136B4" w:rsidRPr="00087FDE" w:rsidRDefault="000136B4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0136B4" w:rsidRPr="00087FDE" w:rsidRDefault="000136B4" w:rsidP="000136B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136B4" w:rsidRPr="00000A90" w:rsidRDefault="000136B4" w:rsidP="0001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6B4" w:rsidRPr="0037301B" w:rsidRDefault="000136B4" w:rsidP="000136B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136B4" w:rsidRPr="0037301B" w:rsidRDefault="000136B4" w:rsidP="000136B4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0136B4" w:rsidRPr="00000A90" w:rsidRDefault="000136B4" w:rsidP="000136B4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0136B4" w:rsidRPr="00000A90" w:rsidRDefault="000136B4" w:rsidP="000136B4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0136B4" w:rsidRPr="00000A90" w:rsidRDefault="000136B4" w:rsidP="0001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0136B4" w:rsidRPr="00000A90" w:rsidRDefault="000136B4" w:rsidP="00013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0136B4" w:rsidRPr="00000A90" w:rsidRDefault="000136B4" w:rsidP="000136B4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136B4" w:rsidRPr="00000A90" w:rsidTr="00E74418">
        <w:tc>
          <w:tcPr>
            <w:tcW w:w="1159" w:type="dxa"/>
            <w:shd w:val="clear" w:color="auto" w:fill="auto"/>
          </w:tcPr>
          <w:p w:rsidR="000136B4" w:rsidRPr="00C81F52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0136B4" w:rsidRPr="00C81F52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136B4" w:rsidRPr="00000A90" w:rsidRDefault="000136B4" w:rsidP="000136B4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0136B4" w:rsidRPr="00000A90" w:rsidRDefault="000136B4" w:rsidP="000136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0136B4" w:rsidRDefault="000136B4" w:rsidP="000136B4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0136B4" w:rsidRDefault="000136B4" w:rsidP="000136B4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0136B4" w:rsidRPr="00326168" w:rsidRDefault="000136B4" w:rsidP="000136B4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0136B4" w:rsidRPr="00000A90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0136B4" w:rsidRPr="00121851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0136B4" w:rsidRPr="00121851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0136B4" w:rsidRPr="00121851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0136B4" w:rsidRPr="00121851" w:rsidRDefault="000136B4" w:rsidP="00013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0136B4" w:rsidRPr="00121851" w:rsidRDefault="000136B4" w:rsidP="000136B4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0136B4" w:rsidRPr="00121851" w:rsidRDefault="000136B4" w:rsidP="000136B4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0136B4" w:rsidRPr="00121851" w:rsidRDefault="000136B4" w:rsidP="000136B4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0136B4" w:rsidRPr="00121851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0136B4" w:rsidRPr="0037301B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5448BC" w:rsidRDefault="005448BC" w:rsidP="0001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136B4" w:rsidRDefault="000136B4" w:rsidP="0001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000A90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0136B4" w:rsidRPr="00000A90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000A90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7154A8" w:rsidRDefault="000136B4" w:rsidP="0001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0136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53.02.07 Теория музыки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0136B4" w:rsidRPr="002C799E" w:rsidRDefault="000136B4" w:rsidP="000136B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0136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53.02.07 Теория музыки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136B4" w:rsidRPr="00121851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1729A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0136B4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0136B4" w:rsidRPr="004D7CB5" w:rsidRDefault="000136B4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0136B4" w:rsidRPr="00000A90" w:rsidTr="00E74418">
        <w:tc>
          <w:tcPr>
            <w:tcW w:w="1715" w:type="dxa"/>
            <w:shd w:val="clear" w:color="auto" w:fill="auto"/>
          </w:tcPr>
          <w:p w:rsidR="000136B4" w:rsidRPr="002C799E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0136B4" w:rsidRPr="00E664AA" w:rsidRDefault="000136B4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0136B4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0136B4" w:rsidRPr="00601EC8" w:rsidRDefault="000136B4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0136B4" w:rsidRPr="00601EC8" w:rsidRDefault="000136B4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0136B4" w:rsidRPr="004706CB" w:rsidRDefault="000136B4" w:rsidP="000136B4">
      <w:pPr>
        <w:spacing w:after="0" w:line="240" w:lineRule="auto"/>
        <w:jc w:val="both"/>
        <w:rPr>
          <w:color w:val="C00000"/>
          <w:sz w:val="18"/>
        </w:rPr>
        <w:sectPr w:rsidR="000136B4" w:rsidRPr="004706CB" w:rsidSect="00FB732C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0136B4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0136B4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0136B4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136B4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0136B4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0136B4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0136B4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0136B4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0136B4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0136B4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0136B4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0136B4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0136B4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0136B4" w:rsidRPr="00601EC8" w:rsidRDefault="000136B4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0136B4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0136B4" w:rsidRPr="00601EC8" w:rsidRDefault="000136B4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0136B4" w:rsidRPr="00601EC8" w:rsidRDefault="000136B4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0136B4" w:rsidRPr="00601EC8" w:rsidRDefault="000136B4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0136B4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0136B4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0136B4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0136B4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0136B4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0136B4" w:rsidRPr="00601EC8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0136B4" w:rsidRPr="00601EC8" w:rsidRDefault="000136B4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0136B4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0136B4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0136B4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0136B4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0136B4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0136B4" w:rsidRPr="00601EC8" w:rsidRDefault="000136B4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0136B4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0136B4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0136B4" w:rsidRPr="00601EC8" w:rsidRDefault="000136B4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0136B4" w:rsidRPr="00601EC8" w:rsidRDefault="000136B4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0136B4" w:rsidTr="00E74418">
        <w:trPr>
          <w:trHeight w:val="830"/>
        </w:trPr>
        <w:tc>
          <w:tcPr>
            <w:tcW w:w="1704" w:type="dxa"/>
          </w:tcPr>
          <w:p w:rsidR="000136B4" w:rsidRPr="00BB4155" w:rsidRDefault="000136B4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0136B4" w:rsidRPr="00BB4155" w:rsidRDefault="000136B4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36B4" w:rsidRDefault="000136B4" w:rsidP="000136B4">
      <w:pPr>
        <w:spacing w:after="0" w:line="240" w:lineRule="auto"/>
        <w:rPr>
          <w:sz w:val="18"/>
        </w:rPr>
        <w:sectPr w:rsidR="000136B4">
          <w:pgSz w:w="11900" w:h="16860"/>
          <w:pgMar w:top="760" w:right="140" w:bottom="280" w:left="640" w:header="720" w:footer="720" w:gutter="0"/>
          <w:cols w:space="720"/>
        </w:sectPr>
      </w:pPr>
    </w:p>
    <w:p w:rsidR="000136B4" w:rsidRPr="00272FD2" w:rsidRDefault="000136B4" w:rsidP="0001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0136B4" w:rsidRPr="00272FD2" w:rsidRDefault="000136B4" w:rsidP="000136B4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4461"/>
        <w:gridCol w:w="2489"/>
      </w:tblGrid>
      <w:tr w:rsidR="000136B4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0136B4" w:rsidRPr="00866DF9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0136B4" w:rsidRPr="00866DF9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0136B4" w:rsidRPr="00866DF9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0136B4" w:rsidRPr="00866DF9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0136B4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0136B4" w:rsidRPr="00866DF9" w:rsidRDefault="000136B4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0136B4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0136B4" w:rsidRPr="00866DF9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0136B4" w:rsidRPr="00601EC8" w:rsidRDefault="000136B4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0136B4" w:rsidRPr="00601EC8" w:rsidRDefault="000136B4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0136B4" w:rsidRPr="00601EC8" w:rsidRDefault="000136B4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0136B4" w:rsidRPr="00601EC8" w:rsidRDefault="000136B4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0136B4" w:rsidRPr="00601EC8" w:rsidRDefault="000136B4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B4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0136B4" w:rsidRPr="00866DF9" w:rsidRDefault="000136B4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0136B4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0136B4" w:rsidRPr="00866DF9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0136B4" w:rsidRPr="00866DF9" w:rsidRDefault="000136B4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0136B4" w:rsidRPr="00866DF9" w:rsidRDefault="000136B4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0136B4" w:rsidRPr="00866DF9" w:rsidRDefault="000136B4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0136B4" w:rsidRPr="00866DF9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0136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53.02.07 Теория музыки</w:t>
            </w:r>
            <w:r w:rsidRPr="00601EC8">
              <w:rPr>
                <w:rStyle w:val="2"/>
                <w:color w:val="auto"/>
              </w:rPr>
              <w:t xml:space="preserve">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0136B4" w:rsidRPr="00601EC8" w:rsidRDefault="000136B4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0136B4" w:rsidRPr="00601EC8" w:rsidRDefault="000136B4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0136B4" w:rsidRPr="00601EC8" w:rsidRDefault="000136B4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0136B4" w:rsidRPr="00601EC8" w:rsidRDefault="000136B4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0136B4" w:rsidRPr="00601EC8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B4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0136B4" w:rsidRPr="00B900FA" w:rsidRDefault="000136B4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0136B4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0136B4" w:rsidRPr="00113505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0136B4" w:rsidRPr="00601EC8" w:rsidRDefault="000136B4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0136B4" w:rsidRPr="00601EC8" w:rsidRDefault="000136B4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0136B4" w:rsidRPr="00601EC8" w:rsidRDefault="000136B4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0136B4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0136B4" w:rsidRPr="00B900FA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0136B4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0136B4" w:rsidRPr="00B07237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0136B4" w:rsidRPr="00601EC8" w:rsidRDefault="000136B4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0136B4" w:rsidRPr="00601EC8" w:rsidRDefault="000136B4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0136B4" w:rsidRPr="00601EC8" w:rsidRDefault="000136B4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0136B4" w:rsidRPr="00601EC8" w:rsidRDefault="000136B4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0136B4" w:rsidRPr="00601EC8" w:rsidRDefault="000136B4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0136B4" w:rsidRPr="00601EC8" w:rsidRDefault="000136B4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0136B4" w:rsidRPr="00601EC8" w:rsidRDefault="000136B4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0136B4" w:rsidRPr="00601EC8" w:rsidRDefault="000136B4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0136B4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0136B4" w:rsidRPr="00B07237" w:rsidRDefault="000136B4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0136B4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0136B4" w:rsidRPr="00B07237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0136B4" w:rsidRPr="00601EC8" w:rsidRDefault="000136B4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0136B4" w:rsidRPr="00601EC8" w:rsidRDefault="000136B4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0136B4" w:rsidRPr="00601EC8" w:rsidRDefault="000136B4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0136B4" w:rsidRPr="00601EC8" w:rsidRDefault="000136B4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0136B4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0136B4" w:rsidRPr="00B07237" w:rsidRDefault="000136B4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0136B4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0136B4" w:rsidRPr="00B07237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0136B4" w:rsidRPr="00601EC8" w:rsidRDefault="000136B4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0136B4" w:rsidRPr="00601EC8" w:rsidRDefault="000136B4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0136B4" w:rsidRPr="00601EC8" w:rsidRDefault="000136B4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6B4" w:rsidRPr="00601EC8" w:rsidRDefault="000136B4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136B4" w:rsidRPr="00601EC8" w:rsidRDefault="000136B4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0136B4" w:rsidRPr="00601EC8" w:rsidRDefault="000136B4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0136B4" w:rsidRPr="00601EC8" w:rsidRDefault="000136B4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0136B4" w:rsidRPr="00601EC8" w:rsidRDefault="000136B4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0136B4" w:rsidRPr="00354B1F" w:rsidRDefault="000136B4" w:rsidP="0001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6B4" w:rsidRPr="00354B1F" w:rsidRDefault="000136B4" w:rsidP="0001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0136B4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6B4" w:rsidRPr="00354B1F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0136B4" w:rsidRPr="00354B1F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0136B4" w:rsidRPr="00354B1F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0136B4" w:rsidRDefault="000136B4" w:rsidP="00013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136B4" w:rsidRPr="003B656C" w:rsidRDefault="000136B4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0136B4" w:rsidRPr="003B656C" w:rsidRDefault="000136B4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136B4" w:rsidRPr="003B656C" w:rsidTr="00E74418">
        <w:tc>
          <w:tcPr>
            <w:tcW w:w="851" w:type="dxa"/>
            <w:shd w:val="clear" w:color="auto" w:fill="auto"/>
          </w:tcPr>
          <w:p w:rsidR="000136B4" w:rsidRPr="003B656C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0136B4" w:rsidRPr="003B656C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0136B4" w:rsidRPr="003B656C" w:rsidRDefault="000136B4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0136B4" w:rsidRPr="00504D55" w:rsidTr="00E74418">
        <w:tc>
          <w:tcPr>
            <w:tcW w:w="851" w:type="dxa"/>
            <w:shd w:val="clear" w:color="auto" w:fill="auto"/>
          </w:tcPr>
          <w:p w:rsidR="000136B4" w:rsidRPr="00504D55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0136B4" w:rsidRPr="00145109" w:rsidRDefault="000136B4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0136B4" w:rsidRPr="00145109" w:rsidRDefault="000136B4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0136B4" w:rsidRPr="00145109" w:rsidRDefault="000136B4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0136B4" w:rsidRPr="00145109" w:rsidRDefault="000136B4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0136B4" w:rsidRPr="00145109" w:rsidRDefault="000136B4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0136B4" w:rsidRPr="00145109" w:rsidRDefault="000136B4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0136B4" w:rsidRPr="00504D55" w:rsidTr="00E74418">
        <w:tc>
          <w:tcPr>
            <w:tcW w:w="851" w:type="dxa"/>
            <w:shd w:val="clear" w:color="auto" w:fill="auto"/>
          </w:tcPr>
          <w:p w:rsidR="000136B4" w:rsidRPr="00504D55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0136B4" w:rsidRPr="00145109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0136B4" w:rsidRPr="00145109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0136B4" w:rsidRPr="00145109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136B4" w:rsidRPr="00145109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0136B4" w:rsidRPr="00145109" w:rsidRDefault="000136B4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0136B4" w:rsidRPr="00504D55" w:rsidTr="00E74418">
        <w:tc>
          <w:tcPr>
            <w:tcW w:w="851" w:type="dxa"/>
            <w:shd w:val="clear" w:color="auto" w:fill="auto"/>
          </w:tcPr>
          <w:p w:rsidR="000136B4" w:rsidRPr="00504D55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0136B4" w:rsidRPr="00145109" w:rsidRDefault="000136B4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0136B4" w:rsidRPr="00145109" w:rsidRDefault="000136B4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0136B4" w:rsidRPr="00145109" w:rsidRDefault="000136B4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136B4" w:rsidRPr="00145109" w:rsidRDefault="000136B4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136B4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136B4" w:rsidRPr="00000A90" w:rsidRDefault="000136B4" w:rsidP="000136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0136B4" w:rsidRPr="00000A90" w:rsidRDefault="000136B4" w:rsidP="000136B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0136B4" w:rsidRPr="00000A90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0136B4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0136B4" w:rsidRPr="00000A90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0136B4" w:rsidRPr="00601EC8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136B4" w:rsidRPr="00601EC8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0136B4" w:rsidRPr="00601EC8" w:rsidRDefault="000136B4" w:rsidP="000136B4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0136B4" w:rsidRPr="00601EC8" w:rsidRDefault="000136B4" w:rsidP="000136B4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0136B4" w:rsidRPr="00601EC8" w:rsidRDefault="000136B4" w:rsidP="000136B4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0136B4" w:rsidRPr="00601EC8" w:rsidRDefault="000136B4" w:rsidP="000136B4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0136B4" w:rsidRPr="00601EC8" w:rsidRDefault="000136B4" w:rsidP="000136B4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0136B4" w:rsidRPr="00601EC8" w:rsidRDefault="000136B4" w:rsidP="000136B4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0136B4" w:rsidRPr="00601EC8" w:rsidRDefault="000136B4" w:rsidP="000136B4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0136B4" w:rsidRPr="00601EC8" w:rsidRDefault="000136B4" w:rsidP="000136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0136B4" w:rsidRPr="00601EC8" w:rsidRDefault="000136B4" w:rsidP="000136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0136B4" w:rsidRPr="00601EC8" w:rsidRDefault="000136B4" w:rsidP="000136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0136B4" w:rsidRPr="00601EC8" w:rsidRDefault="000136B4" w:rsidP="000136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0136B4" w:rsidRPr="00000A90" w:rsidRDefault="000136B4" w:rsidP="000136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0136B4" w:rsidRPr="00000A90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0136B4" w:rsidRPr="00000A90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0136B4" w:rsidRPr="00000A90" w:rsidRDefault="000136B4" w:rsidP="000136B4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0136B4" w:rsidRPr="00000A90" w:rsidRDefault="000136B4" w:rsidP="000136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sectPr w:rsidR="000136B4" w:rsidRPr="00000A90" w:rsidSect="008131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71" w:rsidRDefault="00672071" w:rsidP="000136B4">
      <w:pPr>
        <w:spacing w:after="0" w:line="240" w:lineRule="auto"/>
      </w:pPr>
      <w:r>
        <w:separator/>
      </w:r>
    </w:p>
  </w:endnote>
  <w:endnote w:type="continuationSeparator" w:id="0">
    <w:p w:rsidR="00672071" w:rsidRDefault="00672071" w:rsidP="0001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0136B4" w:rsidRDefault="000136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A3">
          <w:rPr>
            <w:noProof/>
          </w:rPr>
          <w:t>19</w:t>
        </w:r>
        <w:r>
          <w:fldChar w:fldCharType="end"/>
        </w:r>
      </w:p>
    </w:sdtContent>
  </w:sdt>
  <w:p w:rsidR="000136B4" w:rsidRDefault="000136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71" w:rsidRDefault="00672071" w:rsidP="000136B4">
      <w:pPr>
        <w:spacing w:after="0" w:line="240" w:lineRule="auto"/>
      </w:pPr>
      <w:r>
        <w:separator/>
      </w:r>
    </w:p>
  </w:footnote>
  <w:footnote w:type="continuationSeparator" w:id="0">
    <w:p w:rsidR="00672071" w:rsidRDefault="00672071" w:rsidP="000136B4">
      <w:pPr>
        <w:spacing w:after="0" w:line="240" w:lineRule="auto"/>
      </w:pPr>
      <w:r>
        <w:continuationSeparator/>
      </w:r>
    </w:p>
  </w:footnote>
  <w:footnote w:id="1">
    <w:p w:rsidR="000136B4" w:rsidRPr="0037301B" w:rsidRDefault="000136B4" w:rsidP="000136B4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CB"/>
    <w:rsid w:val="000136B4"/>
    <w:rsid w:val="00177F1A"/>
    <w:rsid w:val="002F5CCB"/>
    <w:rsid w:val="00460019"/>
    <w:rsid w:val="004C1576"/>
    <w:rsid w:val="005448BC"/>
    <w:rsid w:val="00672071"/>
    <w:rsid w:val="0076342F"/>
    <w:rsid w:val="008131C2"/>
    <w:rsid w:val="00825514"/>
    <w:rsid w:val="008E0DA4"/>
    <w:rsid w:val="00A42CE9"/>
    <w:rsid w:val="00AA0EBE"/>
    <w:rsid w:val="00C61BBC"/>
    <w:rsid w:val="00D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910D-1D0A-4A2D-B4ED-D6D9880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6B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6B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13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0136B4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0136B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013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6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1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6B4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01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13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013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013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0136B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136B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1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136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8</cp:revision>
  <dcterms:created xsi:type="dcterms:W3CDTF">2023-09-26T13:40:00Z</dcterms:created>
  <dcterms:modified xsi:type="dcterms:W3CDTF">2023-12-23T19:39:00Z</dcterms:modified>
</cp:coreProperties>
</file>